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F7" w:rsidRDefault="00B22B70" w:rsidP="00F55E04">
      <w:pPr>
        <w:shd w:val="clear" w:color="auto" w:fill="FFFFFF"/>
        <w:spacing w:before="100" w:beforeAutospacing="1" w:after="100" w:afterAutospacing="1" w:line="240" w:lineRule="auto"/>
        <w:jc w:val="center"/>
        <w:rPr>
          <w:rFonts w:ascii="Tahoma" w:eastAsia="Times New Roman" w:hAnsi="Tahoma" w:cs="Tahoma"/>
          <w:color w:val="FF0000"/>
          <w:sz w:val="24"/>
          <w:szCs w:val="24"/>
        </w:rPr>
      </w:pPr>
      <w:r>
        <w:rPr>
          <w:rFonts w:ascii="Tahoma" w:eastAsia="Times New Roman" w:hAnsi="Tahoma" w:cs="Tahoma"/>
          <w:color w:val="FF0000"/>
          <w:sz w:val="24"/>
          <w:szCs w:val="24"/>
        </w:rPr>
        <w:t>Echo Inc</w:t>
      </w:r>
      <w:r w:rsidR="00655D42">
        <w:rPr>
          <w:rFonts w:ascii="Tahoma" w:eastAsia="Times New Roman" w:hAnsi="Tahoma" w:cs="Tahoma"/>
          <w:color w:val="FF0000"/>
          <w:sz w:val="24"/>
          <w:szCs w:val="24"/>
        </w:rPr>
        <w:t>: Thermometer Filling</w:t>
      </w:r>
    </w:p>
    <w:p w:rsidR="00F55E04" w:rsidRPr="00DD55E1" w:rsidRDefault="00F55E04" w:rsidP="00F55E04">
      <w:pPr>
        <w:shd w:val="clear" w:color="auto" w:fill="FFFFFF"/>
        <w:spacing w:before="100" w:beforeAutospacing="1" w:after="100" w:afterAutospacing="1" w:line="240" w:lineRule="auto"/>
        <w:jc w:val="center"/>
        <w:rPr>
          <w:rFonts w:ascii="Tahoma" w:eastAsia="Times New Roman" w:hAnsi="Tahoma" w:cs="Tahoma"/>
          <w:color w:val="FF0000"/>
          <w:sz w:val="24"/>
          <w:szCs w:val="24"/>
        </w:rPr>
      </w:pPr>
      <w:r>
        <w:rPr>
          <w:rFonts w:ascii="Tahoma" w:eastAsia="Times New Roman" w:hAnsi="Tahoma" w:cs="Tahoma"/>
          <w:color w:val="FF0000"/>
          <w:sz w:val="24"/>
          <w:szCs w:val="24"/>
        </w:rPr>
        <w:t>Safety Data Sheet</w:t>
      </w: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 Identification</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Default="00B22B70" w:rsidP="00BC3A1A">
            <w:pPr>
              <w:pStyle w:val="Heading2"/>
              <w:rPr>
                <w:rStyle w:val="Strong"/>
              </w:rPr>
            </w:pPr>
            <w:r>
              <w:rPr>
                <w:rStyle w:val="Strong"/>
              </w:rPr>
              <w:t>Product Name: Echo Inc. glass tube thermometers</w:t>
            </w:r>
          </w:p>
          <w:p w:rsidR="00B22B70" w:rsidRPr="006A767A" w:rsidRDefault="00B22B70" w:rsidP="00BC3A1A">
            <w:pPr>
              <w:pStyle w:val="Heading2"/>
            </w:pPr>
            <w:r w:rsidRPr="006A767A">
              <w:t>Manufacturer/Supplier: Echo Inc</w:t>
            </w:r>
            <w:r w:rsidR="00B2404A">
              <w:t>.</w:t>
            </w:r>
          </w:p>
          <w:p w:rsidR="00B22B70" w:rsidRDefault="00B22B70" w:rsidP="00BC3A1A">
            <w:pPr>
              <w:pStyle w:val="Heading2"/>
            </w:pPr>
            <w:r w:rsidRPr="006A767A">
              <w:t>Address: 2755 Columbus Ave, Springfield, OH 45503</w:t>
            </w:r>
          </w:p>
          <w:p w:rsidR="00655D42" w:rsidRDefault="00655D42" w:rsidP="00BC3A1A">
            <w:pPr>
              <w:pStyle w:val="Heading2"/>
              <w:rPr>
                <w:rFonts w:asciiTheme="minorHAnsi" w:hAnsiTheme="minorHAnsi"/>
              </w:rPr>
            </w:pPr>
          </w:p>
          <w:p w:rsidR="00655D42" w:rsidRDefault="00B22B70" w:rsidP="00655D42">
            <w:pPr>
              <w:pStyle w:val="Heading2"/>
              <w:rPr>
                <w:rFonts w:asciiTheme="minorHAnsi" w:hAnsiTheme="minorHAnsi"/>
              </w:rPr>
            </w:pPr>
            <w:r w:rsidRPr="00BC3A1A">
              <w:rPr>
                <w:rFonts w:asciiTheme="minorHAnsi" w:hAnsiTheme="minorHAnsi"/>
              </w:rPr>
              <w:t xml:space="preserve">Emergency </w:t>
            </w:r>
            <w:r w:rsidR="00655D42">
              <w:rPr>
                <w:rFonts w:asciiTheme="minorHAnsi" w:hAnsiTheme="minorHAnsi"/>
              </w:rPr>
              <w:t xml:space="preserve">Phone </w:t>
            </w:r>
            <w:r w:rsidRPr="00BC3A1A">
              <w:rPr>
                <w:rFonts w:asciiTheme="minorHAnsi" w:hAnsiTheme="minorHAnsi"/>
              </w:rPr>
              <w:t>Number: 8</w:t>
            </w:r>
            <w:r w:rsidR="00655D42">
              <w:rPr>
                <w:rFonts w:asciiTheme="minorHAnsi" w:hAnsiTheme="minorHAnsi"/>
              </w:rPr>
              <w:t>55</w:t>
            </w:r>
            <w:r w:rsidRPr="00BC3A1A">
              <w:rPr>
                <w:rFonts w:asciiTheme="minorHAnsi" w:hAnsiTheme="minorHAnsi"/>
              </w:rPr>
              <w:t>-</w:t>
            </w:r>
            <w:r w:rsidR="00655D42">
              <w:rPr>
                <w:rFonts w:asciiTheme="minorHAnsi" w:hAnsiTheme="minorHAnsi"/>
              </w:rPr>
              <w:t>639</w:t>
            </w:r>
            <w:r w:rsidRPr="00BC3A1A">
              <w:rPr>
                <w:rFonts w:asciiTheme="minorHAnsi" w:hAnsiTheme="minorHAnsi"/>
              </w:rPr>
              <w:t>-</w:t>
            </w:r>
            <w:r w:rsidR="00655D42">
              <w:rPr>
                <w:rFonts w:asciiTheme="minorHAnsi" w:hAnsiTheme="minorHAnsi"/>
              </w:rPr>
              <w:t>3648</w:t>
            </w:r>
          </w:p>
          <w:p w:rsidR="00B22B70" w:rsidRPr="00BC3A1A" w:rsidRDefault="00655D42" w:rsidP="00655D42">
            <w:pPr>
              <w:pStyle w:val="Heading2"/>
              <w:rPr>
                <w:rFonts w:asciiTheme="minorHAnsi" w:hAnsiTheme="minorHAnsi"/>
              </w:rPr>
            </w:pPr>
            <w:r>
              <w:rPr>
                <w:rFonts w:asciiTheme="minorHAnsi" w:hAnsiTheme="minorHAnsi"/>
              </w:rPr>
              <w:t>Product Use: Glass tube thermometers</w:t>
            </w:r>
            <w:r w:rsidR="00B22B70" w:rsidRPr="00BC3A1A">
              <w:rPr>
                <w:rFonts w:asciiTheme="minorHAnsi" w:hAnsiTheme="minorHAnsi"/>
              </w:rPr>
              <w:t xml:space="preserve"> </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2: Hazard(s) Identification</w:t>
            </w:r>
          </w:p>
        </w:tc>
      </w:tr>
      <w:tr w:rsidR="00DD55E1" w:rsidRPr="00DD55E1" w:rsidTr="006A767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DD55E1" w:rsidRPr="003D08AC" w:rsidRDefault="006A767A" w:rsidP="00BC3A1A">
            <w:pPr>
              <w:pStyle w:val="Heading2"/>
              <w:rPr>
                <w:b/>
              </w:rPr>
            </w:pPr>
            <w:r w:rsidRPr="003D08AC">
              <w:rPr>
                <w:b/>
              </w:rPr>
              <w:t>Odor: No odor</w:t>
            </w:r>
          </w:p>
          <w:p w:rsidR="006A767A" w:rsidRPr="003D08AC" w:rsidRDefault="006A767A" w:rsidP="00BC3A1A">
            <w:pPr>
              <w:pStyle w:val="Heading2"/>
              <w:rPr>
                <w:b/>
              </w:rPr>
            </w:pPr>
            <w:r w:rsidRPr="003D08AC">
              <w:rPr>
                <w:b/>
              </w:rPr>
              <w:t>Immediate health, physical and environmental hazards: none</w:t>
            </w:r>
          </w:p>
          <w:p w:rsidR="006A767A" w:rsidRPr="003D08AC" w:rsidRDefault="006A767A" w:rsidP="00BC3A1A">
            <w:pPr>
              <w:pStyle w:val="Heading2"/>
              <w:rPr>
                <w:b/>
              </w:rPr>
            </w:pPr>
            <w:r w:rsidRPr="003D08AC">
              <w:rPr>
                <w:b/>
              </w:rPr>
              <w:t xml:space="preserve">Eye contact: </w:t>
            </w:r>
            <w:r w:rsidR="00655D42">
              <w:rPr>
                <w:b/>
              </w:rPr>
              <w:t>No health effects are expected</w:t>
            </w:r>
          </w:p>
          <w:p w:rsidR="006A767A" w:rsidRPr="003D08AC" w:rsidRDefault="006A767A" w:rsidP="00BC3A1A">
            <w:pPr>
              <w:pStyle w:val="Heading2"/>
              <w:rPr>
                <w:b/>
              </w:rPr>
            </w:pPr>
            <w:r w:rsidRPr="003D08AC">
              <w:rPr>
                <w:b/>
              </w:rPr>
              <w:t xml:space="preserve">Skin contact: </w:t>
            </w:r>
            <w:r w:rsidR="00655D42">
              <w:rPr>
                <w:b/>
              </w:rPr>
              <w:t>No health effects are expected</w:t>
            </w:r>
          </w:p>
          <w:p w:rsidR="006A767A" w:rsidRPr="003D08AC" w:rsidRDefault="006A767A" w:rsidP="00BC3A1A">
            <w:pPr>
              <w:pStyle w:val="Heading2"/>
              <w:rPr>
                <w:b/>
              </w:rPr>
            </w:pPr>
            <w:r w:rsidRPr="003D08AC">
              <w:rPr>
                <w:b/>
              </w:rPr>
              <w:t>Inhalation: No health effects are expected</w:t>
            </w:r>
          </w:p>
          <w:p w:rsidR="006A767A" w:rsidRPr="00F55E04" w:rsidRDefault="006A767A" w:rsidP="00BC3A1A">
            <w:pPr>
              <w:pStyle w:val="Heading2"/>
            </w:pPr>
            <w:r w:rsidRPr="003D08AC">
              <w:rPr>
                <w:b/>
              </w:rPr>
              <w:t>Ingestion: No health effects are expected</w:t>
            </w:r>
          </w:p>
        </w:tc>
      </w:tr>
    </w:tbl>
    <w:p w:rsidR="00D957F7" w:rsidRPr="00DD55E1" w:rsidRDefault="00D957F7" w:rsidP="00BC3A1A">
      <w:pPr>
        <w:pStyle w:val="Heading2"/>
        <w:rPr>
          <w:rFonts w:ascii="Tahoma" w:eastAsia="Times New Roman" w:hAnsi="Tahoma" w:cs="Tahoma"/>
          <w:vanish/>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BC3A1A">
            <w:pPr>
              <w:pStyle w:val="Heading2"/>
              <w:rPr>
                <w:rFonts w:ascii="Tahoma" w:eastAsia="Times New Roman" w:hAnsi="Tahoma" w:cs="Tahoma"/>
                <w:bCs/>
                <w:color w:val="FFFFFF"/>
              </w:rPr>
            </w:pPr>
            <w:r w:rsidRPr="00DD55E1">
              <w:rPr>
                <w:rFonts w:ascii="Tahoma" w:eastAsia="Times New Roman" w:hAnsi="Tahoma" w:cs="Tahoma"/>
                <w:bCs/>
                <w:color w:val="FFFFFF"/>
              </w:rPr>
              <w:t>Section 3: Composition/Information on Ingredients</w:t>
            </w:r>
          </w:p>
        </w:tc>
      </w:tr>
      <w:tr w:rsidR="00DD55E1" w:rsidRPr="00DD55E1" w:rsidTr="006A767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6A767A" w:rsidRPr="003D08AC" w:rsidRDefault="006A767A" w:rsidP="00BC3A1A">
            <w:pPr>
              <w:pStyle w:val="Heading2"/>
              <w:rPr>
                <w:b/>
              </w:rPr>
            </w:pPr>
            <w:r w:rsidRPr="003D08AC">
              <w:rPr>
                <w:b/>
              </w:rPr>
              <w:t>Ingredients                                             C.A.S No.                 % by Wt.</w:t>
            </w:r>
          </w:p>
          <w:p w:rsidR="006A767A" w:rsidRPr="003D08AC" w:rsidRDefault="006A767A" w:rsidP="00BC3A1A">
            <w:pPr>
              <w:pStyle w:val="Heading2"/>
              <w:rPr>
                <w:b/>
              </w:rPr>
            </w:pPr>
            <w:r w:rsidRPr="003D08AC">
              <w:rPr>
                <w:b/>
              </w:rPr>
              <w:t>Low Odor Base Solvent  20591      64742-96-7              97-99</w:t>
            </w:r>
          </w:p>
          <w:p w:rsidR="006A767A" w:rsidRPr="003D08AC" w:rsidRDefault="006A767A" w:rsidP="00BC3A1A">
            <w:pPr>
              <w:pStyle w:val="Heading2"/>
              <w:rPr>
                <w:b/>
              </w:rPr>
            </w:pPr>
            <w:r w:rsidRPr="003D08AC">
              <w:rPr>
                <w:b/>
              </w:rPr>
              <w:t>Solvent Red 26                                      4477-79-6                 1-1.5</w:t>
            </w:r>
          </w:p>
          <w:p w:rsidR="006A767A" w:rsidRPr="003D08AC" w:rsidRDefault="006A767A" w:rsidP="00BC3A1A">
            <w:pPr>
              <w:pStyle w:val="Heading2"/>
              <w:rPr>
                <w:b/>
              </w:rPr>
            </w:pPr>
            <w:r w:rsidRPr="003D08AC">
              <w:rPr>
                <w:b/>
              </w:rPr>
              <w:t xml:space="preserve">Toulene                                                  </w:t>
            </w:r>
            <w:r w:rsidR="003D08AC">
              <w:rPr>
                <w:b/>
              </w:rPr>
              <w:t xml:space="preserve">  </w:t>
            </w:r>
            <w:r w:rsidRPr="003D08AC">
              <w:rPr>
                <w:b/>
              </w:rPr>
              <w:t>108-88-3                   &lt; .25</w:t>
            </w:r>
          </w:p>
          <w:p w:rsidR="00DD55E1" w:rsidRPr="00F55E04" w:rsidRDefault="006A767A" w:rsidP="003D08AC">
            <w:pPr>
              <w:pStyle w:val="Heading2"/>
            </w:pPr>
            <w:r w:rsidRPr="003D08AC">
              <w:rPr>
                <w:b/>
              </w:rPr>
              <w:t xml:space="preserve">Isopropanol 99%                               </w:t>
            </w:r>
            <w:r w:rsidR="003D08AC">
              <w:rPr>
                <w:b/>
              </w:rPr>
              <w:t xml:space="preserve"> </w:t>
            </w:r>
            <w:r w:rsidRPr="003D08AC">
              <w:rPr>
                <w:b/>
              </w:rPr>
              <w:t xml:space="preserve"> 67-63-0                      &lt; .25</w:t>
            </w:r>
            <w:r>
              <w:t xml:space="preserve">  </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4: First-Aid Measures</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Pr="003D08AC" w:rsidRDefault="006A767A" w:rsidP="00BC3A1A">
            <w:pPr>
              <w:pStyle w:val="Heading2"/>
              <w:rPr>
                <w:b/>
              </w:rPr>
            </w:pPr>
            <w:r w:rsidRPr="003D08AC">
              <w:rPr>
                <w:b/>
              </w:rPr>
              <w:t>First Aid Procedures:</w:t>
            </w:r>
          </w:p>
          <w:p w:rsidR="006A767A" w:rsidRDefault="006A767A" w:rsidP="00BC3A1A">
            <w:pPr>
              <w:pStyle w:val="Heading2"/>
              <w:rPr>
                <w:b/>
              </w:rPr>
            </w:pPr>
            <w:r w:rsidRPr="003D08AC">
              <w:rPr>
                <w:b/>
              </w:rPr>
              <w:t>The following first aid recommendations are based on an assumption that appropriate personal and industrial hygiene practices are followed</w:t>
            </w:r>
            <w:r w:rsidR="00BC3A1A" w:rsidRPr="003D08AC">
              <w:rPr>
                <w:b/>
              </w:rPr>
              <w:t>.</w:t>
            </w:r>
          </w:p>
          <w:p w:rsidR="003D08AC" w:rsidRPr="003D08AC" w:rsidRDefault="003D08AC" w:rsidP="003D08AC"/>
          <w:p w:rsidR="00BC3A1A" w:rsidRPr="003D08AC" w:rsidRDefault="00BC3A1A" w:rsidP="00BC3A1A">
            <w:pPr>
              <w:pStyle w:val="Heading2"/>
              <w:rPr>
                <w:b/>
              </w:rPr>
            </w:pPr>
            <w:r w:rsidRPr="003D08AC">
              <w:rPr>
                <w:b/>
              </w:rPr>
              <w:t>Eye Contact:  Flush eyes with water</w:t>
            </w:r>
          </w:p>
          <w:p w:rsidR="00BC3A1A" w:rsidRPr="003D08AC" w:rsidRDefault="00BC3A1A" w:rsidP="00BC3A1A">
            <w:pPr>
              <w:pStyle w:val="Heading2"/>
              <w:rPr>
                <w:b/>
              </w:rPr>
            </w:pPr>
            <w:r w:rsidRPr="003D08AC">
              <w:rPr>
                <w:b/>
              </w:rPr>
              <w:t>Skin contact: Wash affected area with soap and water</w:t>
            </w:r>
          </w:p>
          <w:p w:rsidR="00BC3A1A" w:rsidRPr="003D08AC" w:rsidRDefault="00BC3A1A" w:rsidP="00BC3A1A">
            <w:pPr>
              <w:pStyle w:val="Heading2"/>
              <w:rPr>
                <w:b/>
              </w:rPr>
            </w:pPr>
            <w:r w:rsidRPr="003D08AC">
              <w:rPr>
                <w:b/>
              </w:rPr>
              <w:t>Inhalation: No need for first air anticipated</w:t>
            </w:r>
          </w:p>
          <w:p w:rsidR="00BC3A1A" w:rsidRPr="00BC3A1A" w:rsidRDefault="00BC3A1A" w:rsidP="003D08AC">
            <w:pPr>
              <w:pStyle w:val="Heading2"/>
            </w:pPr>
            <w:r w:rsidRPr="003D08AC">
              <w:rPr>
                <w:b/>
              </w:rPr>
              <w:t>If swallowed: Make sure all glass is removed and rinse with water.</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lastRenderedPageBreak/>
              <w:t>Section 5: Fire-Fighting Measures</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Pr="003D08AC" w:rsidRDefault="00BC3A1A" w:rsidP="00BC3A1A">
            <w:pPr>
              <w:pStyle w:val="Heading2"/>
              <w:rPr>
                <w:b/>
              </w:rPr>
            </w:pPr>
            <w:r w:rsidRPr="003D08AC">
              <w:rPr>
                <w:b/>
              </w:rPr>
              <w:t>Flammable Properties:    Flash point:    150.0-165.0 Degrees Fahrenheit</w:t>
            </w:r>
          </w:p>
          <w:p w:rsidR="00BC3A1A" w:rsidRPr="003D08AC" w:rsidRDefault="00B2404A" w:rsidP="00BC3A1A">
            <w:pPr>
              <w:pStyle w:val="Heading2"/>
              <w:rPr>
                <w:b/>
              </w:rPr>
            </w:pPr>
            <w:r w:rsidRPr="003D08AC">
              <w:rPr>
                <w:b/>
              </w:rPr>
              <w:t>Extinguishing</w:t>
            </w:r>
            <w:r w:rsidR="00BC3A1A" w:rsidRPr="003D08AC">
              <w:rPr>
                <w:b/>
              </w:rPr>
              <w:t xml:space="preserve"> Media:  Regular foam or Carbon Dioxide or Dry Chemical</w:t>
            </w:r>
          </w:p>
          <w:p w:rsidR="00BC3A1A" w:rsidRPr="003D08AC" w:rsidRDefault="00BC3A1A" w:rsidP="00BC3A1A">
            <w:pPr>
              <w:pStyle w:val="Heading2"/>
              <w:rPr>
                <w:b/>
              </w:rPr>
            </w:pPr>
            <w:r w:rsidRPr="003D08AC">
              <w:rPr>
                <w:b/>
              </w:rPr>
              <w:t>Protection of Fire Fighters: Wear full protective equipment (Bunker Gear) and a self-contained breathing apparatus.</w:t>
            </w:r>
          </w:p>
          <w:p w:rsidR="00BC3A1A" w:rsidRPr="003D08AC" w:rsidRDefault="00BC3A1A" w:rsidP="00BC3A1A">
            <w:pPr>
              <w:pStyle w:val="Heading2"/>
              <w:rPr>
                <w:b/>
              </w:rPr>
            </w:pPr>
            <w:r w:rsidRPr="003D08AC">
              <w:rPr>
                <w:b/>
              </w:rPr>
              <w:t xml:space="preserve">NFPA: Flammable and </w:t>
            </w:r>
            <w:r w:rsidR="00B2404A" w:rsidRPr="003D08AC">
              <w:rPr>
                <w:b/>
              </w:rPr>
              <w:t>Combustible</w:t>
            </w:r>
            <w:r w:rsidRPr="003D08AC">
              <w:rPr>
                <w:b/>
              </w:rPr>
              <w:t xml:space="preserve"> Liquids Classification:  </w:t>
            </w:r>
            <w:r w:rsidR="00B2404A" w:rsidRPr="003D08AC">
              <w:rPr>
                <w:b/>
              </w:rPr>
              <w:t>Combustible</w:t>
            </w:r>
            <w:r w:rsidRPr="003D08AC">
              <w:rPr>
                <w:b/>
              </w:rPr>
              <w:t xml:space="preserve"> Liquid Class IIIA</w:t>
            </w:r>
          </w:p>
          <w:p w:rsidR="00BC3A1A" w:rsidRDefault="00BC3A1A" w:rsidP="00BC3A1A">
            <w:pPr>
              <w:pStyle w:val="NoSpacing"/>
              <w:rPr>
                <w:b/>
                <w:sz w:val="24"/>
                <w:szCs w:val="24"/>
              </w:rPr>
            </w:pPr>
          </w:p>
          <w:p w:rsidR="00BC3A1A" w:rsidRPr="003D08AC" w:rsidRDefault="00BC3A1A" w:rsidP="00BC3A1A">
            <w:pPr>
              <w:pStyle w:val="Heading2"/>
              <w:rPr>
                <w:b/>
              </w:rPr>
            </w:pPr>
            <w:r w:rsidRPr="003D08AC">
              <w:rPr>
                <w:b/>
              </w:rPr>
              <w:t>Unusual Fire and Explosion Hazards: Not applicable</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6: Accidental Release Measures</w:t>
            </w:r>
          </w:p>
        </w:tc>
      </w:tr>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32E0" w:rsidRDefault="003D08AC" w:rsidP="003D08AC">
            <w:pPr>
              <w:pStyle w:val="Heading2"/>
              <w:rPr>
                <w:b/>
              </w:rPr>
            </w:pPr>
            <w:r w:rsidRPr="003D08AC">
              <w:rPr>
                <w:b/>
              </w:rPr>
              <w:t>Accidental Release Measures:  Steps to be taken in case material is released or spilled.  Absorb with paper towel (wash hands).  Thermometer contains</w:t>
            </w:r>
          </w:p>
          <w:p w:rsidR="00D957F7" w:rsidRPr="003D08AC" w:rsidRDefault="003D08AC" w:rsidP="009132E0">
            <w:pPr>
              <w:pStyle w:val="Heading2"/>
              <w:rPr>
                <w:b/>
              </w:rPr>
            </w:pPr>
            <w:r w:rsidRPr="003D08AC">
              <w:rPr>
                <w:b/>
              </w:rPr>
              <w:t>&lt;1/10</w:t>
            </w:r>
            <w:r w:rsidRPr="003D08AC">
              <w:rPr>
                <w:b/>
                <w:vertAlign w:val="superscript"/>
              </w:rPr>
              <w:t>th</w:t>
            </w:r>
            <w:r w:rsidRPr="003D08AC">
              <w:rPr>
                <w:b/>
              </w:rPr>
              <w:t xml:space="preserve"> of 1 cc</w:t>
            </w:r>
            <w:r>
              <w:rPr>
                <w:b/>
              </w:rPr>
              <w:t>.</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7: Handling and Storage</w:t>
            </w:r>
          </w:p>
        </w:tc>
      </w:tr>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7F7" w:rsidRPr="003D08AC" w:rsidRDefault="003D08AC" w:rsidP="003D08AC">
            <w:pPr>
              <w:pStyle w:val="Heading2"/>
              <w:rPr>
                <w:b/>
              </w:rPr>
            </w:pPr>
            <w:r w:rsidRPr="003D08AC">
              <w:rPr>
                <w:b/>
              </w:rPr>
              <w:t>Handling:  Not applicable</w:t>
            </w:r>
          </w:p>
          <w:p w:rsidR="003D08AC" w:rsidRPr="003D08AC" w:rsidRDefault="003D08AC" w:rsidP="003D08AC">
            <w:pPr>
              <w:pStyle w:val="Heading2"/>
            </w:pPr>
            <w:r w:rsidRPr="003D08AC">
              <w:rPr>
                <w:b/>
              </w:rPr>
              <w:t>Storage: Not applicable</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8: Exposure Controls/Personal Protection</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Pr="009132E0" w:rsidRDefault="003D08AC" w:rsidP="009132E0">
            <w:pPr>
              <w:pStyle w:val="Heading2"/>
              <w:rPr>
                <w:b/>
              </w:rPr>
            </w:pPr>
            <w:r w:rsidRPr="009132E0">
              <w:rPr>
                <w:b/>
              </w:rPr>
              <w:t>Engineering Controls:   Not applicable</w:t>
            </w:r>
          </w:p>
          <w:p w:rsidR="003D08AC" w:rsidRPr="009132E0" w:rsidRDefault="003D08AC" w:rsidP="009132E0">
            <w:pPr>
              <w:pStyle w:val="Heading2"/>
              <w:rPr>
                <w:b/>
              </w:rPr>
            </w:pPr>
            <w:r w:rsidRPr="009132E0">
              <w:rPr>
                <w:b/>
              </w:rPr>
              <w:t>Personal Protective Equipment :  Eye/Face protection: Not applicable</w:t>
            </w:r>
          </w:p>
          <w:p w:rsidR="003D08AC" w:rsidRPr="009132E0" w:rsidRDefault="003D08AC" w:rsidP="009132E0">
            <w:pPr>
              <w:pStyle w:val="Heading2"/>
              <w:rPr>
                <w:b/>
              </w:rPr>
            </w:pPr>
            <w:r w:rsidRPr="009132E0">
              <w:rPr>
                <w:b/>
              </w:rPr>
              <w:t>Skin Protection: Not applicable</w:t>
            </w:r>
          </w:p>
          <w:p w:rsidR="003D08AC" w:rsidRPr="009132E0" w:rsidRDefault="003D08AC" w:rsidP="009132E0">
            <w:pPr>
              <w:pStyle w:val="Heading2"/>
              <w:rPr>
                <w:b/>
              </w:rPr>
            </w:pPr>
            <w:r w:rsidRPr="009132E0">
              <w:rPr>
                <w:b/>
              </w:rPr>
              <w:t>Respiratory Protection:  Under normal use conditions, airborne exposures are not expected to be significate enough to require respiratory protections</w:t>
            </w:r>
          </w:p>
          <w:p w:rsidR="003D08AC" w:rsidRPr="009132E0" w:rsidRDefault="003D08AC" w:rsidP="009132E0">
            <w:pPr>
              <w:pStyle w:val="Heading2"/>
              <w:rPr>
                <w:b/>
              </w:rPr>
            </w:pPr>
            <w:r w:rsidRPr="009132E0">
              <w:rPr>
                <w:b/>
              </w:rPr>
              <w:t>Prevention of Swallowing: Not applicable</w:t>
            </w:r>
          </w:p>
          <w:p w:rsidR="00DC5DD0" w:rsidRPr="009132E0" w:rsidRDefault="00DC5DD0" w:rsidP="009132E0">
            <w:pPr>
              <w:pStyle w:val="Heading2"/>
            </w:pPr>
          </w:p>
          <w:p w:rsidR="00DC5DD0" w:rsidRDefault="00DC5DD0" w:rsidP="00DC5DD0"/>
          <w:p w:rsidR="00DC5DD0" w:rsidRDefault="00DC5DD0" w:rsidP="00DC5DD0"/>
          <w:p w:rsidR="00DC5DD0" w:rsidRDefault="00DC5DD0" w:rsidP="00DC5DD0"/>
          <w:p w:rsidR="00DC5DD0" w:rsidRDefault="00DC5DD0" w:rsidP="00DC5DD0"/>
          <w:p w:rsidR="00DC5DD0" w:rsidRDefault="00DC5DD0" w:rsidP="00DC5DD0"/>
          <w:p w:rsidR="00DC5DD0" w:rsidRPr="00DC5DD0" w:rsidRDefault="00DC5DD0" w:rsidP="00DC5DD0"/>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lastRenderedPageBreak/>
              <w:t>Section 9: Physical and Chemical Properties</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Pr="009132E0" w:rsidRDefault="003D08AC" w:rsidP="009132E0">
            <w:pPr>
              <w:pStyle w:val="Heading2"/>
              <w:rPr>
                <w:b/>
              </w:rPr>
            </w:pPr>
            <w:r w:rsidRPr="009132E0">
              <w:rPr>
                <w:b/>
              </w:rPr>
              <w:t>Specific Physical Form:                Red Liquid</w:t>
            </w:r>
          </w:p>
          <w:p w:rsidR="003D08AC" w:rsidRPr="009132E0" w:rsidRDefault="003D08AC" w:rsidP="009132E0">
            <w:pPr>
              <w:pStyle w:val="Heading2"/>
              <w:rPr>
                <w:b/>
              </w:rPr>
            </w:pPr>
            <w:r w:rsidRPr="009132E0">
              <w:rPr>
                <w:b/>
              </w:rPr>
              <w:t xml:space="preserve">General Physical Form:            </w:t>
            </w:r>
            <w:r w:rsidR="00DC5DD0" w:rsidRPr="009132E0">
              <w:rPr>
                <w:b/>
              </w:rPr>
              <w:t xml:space="preserve">   </w:t>
            </w:r>
            <w:r w:rsidRPr="009132E0">
              <w:rPr>
                <w:b/>
              </w:rPr>
              <w:t>Liquid</w:t>
            </w:r>
          </w:p>
          <w:p w:rsidR="003D08AC" w:rsidRPr="009132E0" w:rsidRDefault="00DC5DD0" w:rsidP="009132E0">
            <w:pPr>
              <w:pStyle w:val="Heading2"/>
              <w:rPr>
                <w:b/>
              </w:rPr>
            </w:pPr>
            <w:r w:rsidRPr="009132E0">
              <w:rPr>
                <w:b/>
              </w:rPr>
              <w:t>Auto</w:t>
            </w:r>
            <w:r w:rsidR="00E45DE9">
              <w:rPr>
                <w:b/>
              </w:rPr>
              <w:t>-</w:t>
            </w:r>
            <w:r w:rsidRPr="009132E0">
              <w:rPr>
                <w:b/>
              </w:rPr>
              <w:t>ignition Temperature:     Not applicable</w:t>
            </w:r>
          </w:p>
          <w:p w:rsidR="00DC5DD0" w:rsidRPr="009132E0" w:rsidRDefault="00DC5DD0" w:rsidP="009132E0">
            <w:pPr>
              <w:pStyle w:val="Heading2"/>
              <w:rPr>
                <w:b/>
              </w:rPr>
            </w:pPr>
            <w:r w:rsidRPr="009132E0">
              <w:rPr>
                <w:b/>
              </w:rPr>
              <w:t>Flash Point:                                       1</w:t>
            </w:r>
            <w:r w:rsidR="00B663AE">
              <w:rPr>
                <w:b/>
              </w:rPr>
              <w:t>76</w:t>
            </w:r>
            <w:r w:rsidRPr="009132E0">
              <w:rPr>
                <w:b/>
              </w:rPr>
              <w:t xml:space="preserve">.0 – </w:t>
            </w:r>
            <w:r w:rsidR="00B663AE">
              <w:rPr>
                <w:b/>
              </w:rPr>
              <w:t>205</w:t>
            </w:r>
            <w:r w:rsidRPr="009132E0">
              <w:rPr>
                <w:b/>
              </w:rPr>
              <w:t>.0 degrees Fahrenheit</w:t>
            </w:r>
          </w:p>
          <w:p w:rsidR="00DC5DD0" w:rsidRPr="009132E0" w:rsidRDefault="00DC5DD0" w:rsidP="009132E0">
            <w:pPr>
              <w:pStyle w:val="Heading2"/>
              <w:rPr>
                <w:b/>
              </w:rPr>
            </w:pPr>
            <w:r w:rsidRPr="009132E0">
              <w:rPr>
                <w:b/>
              </w:rPr>
              <w:t>Boiling Point:                                   3</w:t>
            </w:r>
            <w:r w:rsidR="00B663AE">
              <w:rPr>
                <w:b/>
              </w:rPr>
              <w:t>92</w:t>
            </w:r>
            <w:r w:rsidRPr="009132E0">
              <w:rPr>
                <w:b/>
              </w:rPr>
              <w:t>.00-5</w:t>
            </w:r>
            <w:r w:rsidR="00B663AE">
              <w:rPr>
                <w:b/>
              </w:rPr>
              <w:t>72</w:t>
            </w:r>
            <w:r w:rsidRPr="009132E0">
              <w:rPr>
                <w:b/>
              </w:rPr>
              <w:t>.00 degrees Fahrenheit</w:t>
            </w:r>
          </w:p>
          <w:p w:rsidR="00DC5DD0" w:rsidRPr="009132E0" w:rsidRDefault="00DC5DD0" w:rsidP="009132E0">
            <w:pPr>
              <w:pStyle w:val="Heading2"/>
              <w:rPr>
                <w:b/>
              </w:rPr>
            </w:pPr>
            <w:r w:rsidRPr="009132E0">
              <w:rPr>
                <w:b/>
              </w:rPr>
              <w:t>Density:                                              Not applicable</w:t>
            </w:r>
          </w:p>
          <w:p w:rsidR="00DC5DD0" w:rsidRPr="009132E0" w:rsidRDefault="00DC5DD0" w:rsidP="009132E0">
            <w:pPr>
              <w:pStyle w:val="Heading2"/>
              <w:rPr>
                <w:b/>
              </w:rPr>
            </w:pPr>
            <w:r w:rsidRPr="009132E0">
              <w:rPr>
                <w:b/>
              </w:rPr>
              <w:t>Vapor Pressure:                              &lt;1.00mm Hg @ 77.00 Degrees Fahrenheit</w:t>
            </w:r>
          </w:p>
          <w:p w:rsidR="003D08AC" w:rsidRPr="009132E0" w:rsidRDefault="00DC5DD0" w:rsidP="009132E0">
            <w:pPr>
              <w:pStyle w:val="Heading2"/>
              <w:rPr>
                <w:b/>
              </w:rPr>
            </w:pPr>
            <w:r w:rsidRPr="009132E0">
              <w:rPr>
                <w:b/>
              </w:rPr>
              <w:t>Specific Density:                             Air=1  &gt;5.00</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5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50"/>
      </w:tblGrid>
      <w:tr w:rsidR="00D957F7" w:rsidRPr="00DD55E1" w:rsidTr="00D957F7">
        <w:trPr>
          <w:trHeight w:val="215"/>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10: Stability and Reactivity</w:t>
            </w:r>
          </w:p>
        </w:tc>
      </w:tr>
      <w:tr w:rsidR="00DD55E1" w:rsidRPr="00DD55E1" w:rsidTr="00DD55E1">
        <w:trPr>
          <w:trHeight w:val="2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32E0" w:rsidRPr="009132E0" w:rsidRDefault="009132E0" w:rsidP="009132E0">
            <w:pPr>
              <w:pStyle w:val="Heading2"/>
              <w:rPr>
                <w:b/>
              </w:rPr>
            </w:pPr>
            <w:r w:rsidRPr="009132E0">
              <w:rPr>
                <w:b/>
              </w:rPr>
              <w:t>Stability: Stable</w:t>
            </w:r>
          </w:p>
          <w:p w:rsidR="00DD55E1" w:rsidRPr="009132E0" w:rsidRDefault="009132E0" w:rsidP="009132E0">
            <w:pPr>
              <w:pStyle w:val="Heading2"/>
            </w:pPr>
            <w:r w:rsidRPr="009132E0">
              <w:rPr>
                <w:b/>
              </w:rPr>
              <w:t>Materials and conditions to avoid: Strong acids, strong oxidizing agents</w:t>
            </w:r>
            <w:r w:rsidRPr="009132E0">
              <w:t xml:space="preserve"> </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11: Toxicological Information</w:t>
            </w:r>
          </w:p>
        </w:tc>
      </w:tr>
      <w:tr w:rsidR="00D957F7" w:rsidRPr="00DD55E1" w:rsidTr="009132E0">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D957F7" w:rsidRDefault="00B663AE" w:rsidP="009132E0">
            <w:pPr>
              <w:pStyle w:val="Heading2"/>
              <w:rPr>
                <w:b/>
              </w:rPr>
            </w:pPr>
            <w:r>
              <w:rPr>
                <w:b/>
              </w:rPr>
              <w:t>Acute Oral Toxicity: no data available</w:t>
            </w:r>
          </w:p>
          <w:p w:rsidR="00B663AE" w:rsidRDefault="00B663AE" w:rsidP="00B663AE">
            <w:pPr>
              <w:pStyle w:val="Heading2"/>
              <w:rPr>
                <w:b/>
              </w:rPr>
            </w:pPr>
            <w:r w:rsidRPr="00B663AE">
              <w:rPr>
                <w:b/>
              </w:rPr>
              <w:t>Acute inhalation toxicity: no data available</w:t>
            </w:r>
          </w:p>
          <w:p w:rsidR="00B663AE" w:rsidRPr="00B663AE" w:rsidRDefault="00B663AE" w:rsidP="00B663AE">
            <w:pPr>
              <w:pStyle w:val="Heading2"/>
              <w:rPr>
                <w:b/>
              </w:rPr>
            </w:pPr>
            <w:r w:rsidRPr="00B663AE">
              <w:rPr>
                <w:b/>
              </w:rPr>
              <w:t>Acute dermal toxicity: no data available</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12: Ecological Information</w:t>
            </w:r>
            <w:r w:rsidR="00F55E04">
              <w:rPr>
                <w:rFonts w:ascii="Tahoma" w:eastAsia="Times New Roman" w:hAnsi="Tahoma" w:cs="Tahoma"/>
                <w:b/>
                <w:bCs/>
                <w:color w:val="FFFFFF"/>
                <w:sz w:val="24"/>
                <w:szCs w:val="24"/>
              </w:rPr>
              <w:t>*</w:t>
            </w:r>
            <w:r w:rsidRPr="00DD55E1">
              <w:rPr>
                <w:rFonts w:ascii="Tahoma" w:eastAsia="Times New Roman" w:hAnsi="Tahoma" w:cs="Tahoma"/>
                <w:b/>
                <w:bCs/>
                <w:color w:val="FFFFFF"/>
                <w:sz w:val="24"/>
                <w:szCs w:val="24"/>
              </w:rPr>
              <w:t xml:space="preserve"> (non-mandatory)</w:t>
            </w:r>
          </w:p>
        </w:tc>
      </w:tr>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7F7" w:rsidRPr="00DD55E1" w:rsidRDefault="00DD55E1" w:rsidP="00D957F7">
            <w:pPr>
              <w:numPr>
                <w:ilvl w:val="0"/>
                <w:numId w:val="16"/>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Not mandatory but keep section in document</w:t>
            </w:r>
            <w:r w:rsidR="00F55E04">
              <w:rPr>
                <w:rFonts w:ascii="Tahoma" w:eastAsia="Times New Roman" w:hAnsi="Tahoma" w:cs="Tahoma"/>
                <w:color w:val="000000"/>
                <w:sz w:val="24"/>
                <w:szCs w:val="24"/>
              </w:rPr>
              <w:t xml:space="preserve"> and leave empty/blank</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13: Disposal Considerations</w:t>
            </w:r>
            <w:r w:rsidR="00F55E04">
              <w:rPr>
                <w:rFonts w:ascii="Tahoma" w:eastAsia="Times New Roman" w:hAnsi="Tahoma" w:cs="Tahoma"/>
                <w:b/>
                <w:bCs/>
                <w:color w:val="FFFFFF"/>
                <w:sz w:val="24"/>
                <w:szCs w:val="24"/>
              </w:rPr>
              <w:t>*</w:t>
            </w:r>
            <w:r w:rsidRPr="00DD55E1">
              <w:rPr>
                <w:rFonts w:ascii="Tahoma" w:eastAsia="Times New Roman" w:hAnsi="Tahoma" w:cs="Tahoma"/>
                <w:b/>
                <w:bCs/>
                <w:color w:val="FFFFFF"/>
                <w:sz w:val="24"/>
                <w:szCs w:val="24"/>
              </w:rPr>
              <w:t xml:space="preserve"> (non-mandatory) </w:t>
            </w:r>
          </w:p>
        </w:tc>
      </w:tr>
      <w:tr w:rsidR="00DD55E1"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5E1" w:rsidRPr="00DD55E1" w:rsidRDefault="00F55E04" w:rsidP="00314380">
            <w:pPr>
              <w:numPr>
                <w:ilvl w:val="0"/>
                <w:numId w:val="16"/>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Not mandatory but keep section in document and leave empty/blank</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themeColor="background1"/>
                <w:sz w:val="24"/>
                <w:szCs w:val="24"/>
              </w:rPr>
              <w:t>Section 14: Transport Information</w:t>
            </w:r>
            <w:r w:rsidR="00F55E04">
              <w:rPr>
                <w:rFonts w:ascii="Tahoma" w:eastAsia="Times New Roman" w:hAnsi="Tahoma" w:cs="Tahoma"/>
                <w:b/>
                <w:bCs/>
                <w:color w:val="FFFFFF" w:themeColor="background1"/>
                <w:sz w:val="24"/>
                <w:szCs w:val="24"/>
              </w:rPr>
              <w:t>*</w:t>
            </w:r>
            <w:r w:rsidRPr="00DD55E1">
              <w:rPr>
                <w:rFonts w:ascii="Tahoma" w:eastAsia="Times New Roman" w:hAnsi="Tahoma" w:cs="Tahoma"/>
                <w:b/>
                <w:bCs/>
                <w:color w:val="FFFFFF" w:themeColor="background1"/>
                <w:sz w:val="24"/>
                <w:szCs w:val="24"/>
              </w:rPr>
              <w:t xml:space="preserve"> (non-mandatory)</w:t>
            </w:r>
          </w:p>
        </w:tc>
      </w:tr>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7F7" w:rsidRPr="00DD55E1" w:rsidRDefault="00D957F7" w:rsidP="00D957F7">
            <w:pPr>
              <w:numPr>
                <w:ilvl w:val="0"/>
                <w:numId w:val="18"/>
              </w:numPr>
              <w:spacing w:before="100" w:beforeAutospacing="1" w:after="100" w:afterAutospacing="1" w:line="240" w:lineRule="auto"/>
              <w:rPr>
                <w:rFonts w:ascii="Tahoma" w:eastAsia="Times New Roman" w:hAnsi="Tahoma" w:cs="Tahoma"/>
                <w:color w:val="000000"/>
                <w:sz w:val="24"/>
                <w:szCs w:val="24"/>
              </w:rPr>
            </w:pPr>
            <w:r w:rsidRPr="00DD55E1">
              <w:rPr>
                <w:rFonts w:ascii="Tahoma" w:eastAsia="Times New Roman" w:hAnsi="Tahoma" w:cs="Tahoma"/>
                <w:color w:val="000000"/>
                <w:sz w:val="24"/>
                <w:szCs w:val="24"/>
              </w:rPr>
              <w:t xml:space="preserve"> </w:t>
            </w:r>
            <w:r w:rsidR="00F55E04">
              <w:rPr>
                <w:rFonts w:ascii="Tahoma" w:eastAsia="Times New Roman" w:hAnsi="Tahoma" w:cs="Tahoma"/>
                <w:color w:val="000000"/>
                <w:sz w:val="24"/>
                <w:szCs w:val="24"/>
              </w:rPr>
              <w:t>Not mandatory but keep section in document and leave empty/blank</w:t>
            </w: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t>Section 15: Regulatory Information</w:t>
            </w:r>
            <w:r w:rsidR="00F55E04">
              <w:rPr>
                <w:rFonts w:ascii="Tahoma" w:eastAsia="Times New Roman" w:hAnsi="Tahoma" w:cs="Tahoma"/>
                <w:b/>
                <w:bCs/>
                <w:color w:val="FFFFFF"/>
                <w:sz w:val="24"/>
                <w:szCs w:val="24"/>
              </w:rPr>
              <w:t>*</w:t>
            </w:r>
            <w:r w:rsidRPr="00DD55E1">
              <w:rPr>
                <w:rFonts w:ascii="Tahoma" w:eastAsia="Times New Roman" w:hAnsi="Tahoma" w:cs="Tahoma"/>
                <w:b/>
                <w:bCs/>
                <w:color w:val="FFFFFF"/>
                <w:sz w:val="24"/>
                <w:szCs w:val="24"/>
              </w:rPr>
              <w:t xml:space="preserve"> (non-mandatory)</w:t>
            </w:r>
          </w:p>
        </w:tc>
      </w:tr>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7F7" w:rsidRDefault="00D957F7" w:rsidP="00D957F7">
            <w:pPr>
              <w:numPr>
                <w:ilvl w:val="0"/>
                <w:numId w:val="19"/>
              </w:numPr>
              <w:spacing w:before="100" w:beforeAutospacing="1" w:after="100" w:afterAutospacing="1" w:line="240" w:lineRule="auto"/>
              <w:rPr>
                <w:rFonts w:ascii="Tahoma" w:eastAsia="Times New Roman" w:hAnsi="Tahoma" w:cs="Tahoma"/>
                <w:color w:val="000000"/>
                <w:sz w:val="24"/>
                <w:szCs w:val="24"/>
              </w:rPr>
            </w:pPr>
            <w:r w:rsidRPr="00DD55E1">
              <w:rPr>
                <w:rFonts w:ascii="Tahoma" w:eastAsia="Times New Roman" w:hAnsi="Tahoma" w:cs="Tahoma"/>
                <w:color w:val="000000"/>
                <w:sz w:val="24"/>
                <w:szCs w:val="24"/>
              </w:rPr>
              <w:t xml:space="preserve"> </w:t>
            </w:r>
            <w:r w:rsidR="00F55E04">
              <w:rPr>
                <w:rFonts w:ascii="Tahoma" w:eastAsia="Times New Roman" w:hAnsi="Tahoma" w:cs="Tahoma"/>
                <w:color w:val="000000"/>
                <w:sz w:val="24"/>
                <w:szCs w:val="24"/>
              </w:rPr>
              <w:t>Not mandatory but keep section in document and leave empty/blank</w:t>
            </w:r>
          </w:p>
          <w:p w:rsidR="00E45DE9" w:rsidRDefault="00E45DE9" w:rsidP="00E45DE9">
            <w:pPr>
              <w:spacing w:before="100" w:beforeAutospacing="1" w:after="100" w:afterAutospacing="1" w:line="240" w:lineRule="auto"/>
              <w:rPr>
                <w:rFonts w:ascii="Tahoma" w:eastAsia="Times New Roman" w:hAnsi="Tahoma" w:cs="Tahoma"/>
                <w:color w:val="000000"/>
                <w:sz w:val="24"/>
                <w:szCs w:val="24"/>
              </w:rPr>
            </w:pPr>
          </w:p>
          <w:p w:rsidR="00E45DE9" w:rsidRPr="00DD55E1" w:rsidRDefault="00E45DE9" w:rsidP="00E45DE9">
            <w:pPr>
              <w:spacing w:before="100" w:beforeAutospacing="1" w:after="100" w:afterAutospacing="1" w:line="240" w:lineRule="auto"/>
              <w:rPr>
                <w:rFonts w:ascii="Tahoma" w:eastAsia="Times New Roman" w:hAnsi="Tahoma" w:cs="Tahoma"/>
                <w:color w:val="000000"/>
                <w:sz w:val="24"/>
                <w:szCs w:val="24"/>
              </w:rPr>
            </w:pPr>
          </w:p>
        </w:tc>
      </w:tr>
    </w:tbl>
    <w:p w:rsidR="00D957F7" w:rsidRPr="00DD55E1" w:rsidRDefault="00D957F7" w:rsidP="00D957F7">
      <w:pPr>
        <w:shd w:val="clear" w:color="auto" w:fill="FFFFFF"/>
        <w:spacing w:after="150" w:line="240" w:lineRule="auto"/>
        <w:rPr>
          <w:rFonts w:ascii="Tahoma" w:eastAsia="Times New Roman" w:hAnsi="Tahoma" w:cs="Tahoma"/>
          <w:vanish/>
          <w:sz w:val="24"/>
          <w:szCs w:val="24"/>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DD55E1"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DD55E1" w:rsidRDefault="00D957F7" w:rsidP="00D957F7">
            <w:pPr>
              <w:spacing w:after="0" w:line="240" w:lineRule="auto"/>
              <w:jc w:val="center"/>
              <w:rPr>
                <w:rFonts w:ascii="Tahoma" w:eastAsia="Times New Roman" w:hAnsi="Tahoma" w:cs="Tahoma"/>
                <w:b/>
                <w:bCs/>
                <w:color w:val="FFFFFF"/>
                <w:sz w:val="24"/>
                <w:szCs w:val="24"/>
              </w:rPr>
            </w:pPr>
            <w:r w:rsidRPr="00DD55E1">
              <w:rPr>
                <w:rFonts w:ascii="Tahoma" w:eastAsia="Times New Roman" w:hAnsi="Tahoma" w:cs="Tahoma"/>
                <w:b/>
                <w:bCs/>
                <w:color w:val="FFFFFF"/>
                <w:sz w:val="24"/>
                <w:szCs w:val="24"/>
              </w:rPr>
              <w:lastRenderedPageBreak/>
              <w:t xml:space="preserve">Section 16: Other Information </w:t>
            </w:r>
          </w:p>
        </w:tc>
      </w:tr>
      <w:tr w:rsidR="00DD55E1" w:rsidRPr="00DD55E1" w:rsidTr="00E45DE9">
        <w:trPr>
          <w:trHeight w:val="30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5DE9" w:rsidRDefault="00E45DE9" w:rsidP="00E45DE9">
            <w:pPr>
              <w:pStyle w:val="NormalWeb"/>
              <w:rPr>
                <w:sz w:val="20"/>
                <w:szCs w:val="20"/>
              </w:rPr>
            </w:pPr>
            <w:r>
              <w:rPr>
                <w:rStyle w:val="Strong"/>
                <w:sz w:val="20"/>
                <w:szCs w:val="20"/>
              </w:rPr>
              <w:t>National Fire Protection Association (NFPA) Ratings:</w:t>
            </w:r>
            <w:r>
              <w:rPr>
                <w:sz w:val="20"/>
                <w:szCs w:val="20"/>
              </w:rPr>
              <w:t xml:space="preserve"> This information is intended solely for the use of individuals trained in the NFPA system.</w:t>
            </w:r>
          </w:p>
          <w:p w:rsidR="00E45DE9" w:rsidRDefault="00E45DE9" w:rsidP="00E45DE9">
            <w:pPr>
              <w:pStyle w:val="NormalWeb"/>
              <w:rPr>
                <w:sz w:val="20"/>
                <w:szCs w:val="20"/>
              </w:rPr>
            </w:pPr>
            <w:r>
              <w:rPr>
                <w:rStyle w:val="Strong"/>
                <w:sz w:val="20"/>
                <w:szCs w:val="20"/>
              </w:rPr>
              <w:t xml:space="preserve">Health: </w:t>
            </w:r>
            <w:r w:rsidR="00B663AE">
              <w:rPr>
                <w:rStyle w:val="Strong"/>
                <w:sz w:val="20"/>
                <w:szCs w:val="20"/>
              </w:rPr>
              <w:t>1</w:t>
            </w:r>
            <w:r>
              <w:rPr>
                <w:b/>
                <w:bCs/>
                <w:sz w:val="20"/>
                <w:szCs w:val="20"/>
              </w:rPr>
              <w:br/>
            </w:r>
            <w:r>
              <w:rPr>
                <w:rStyle w:val="Strong"/>
                <w:sz w:val="20"/>
                <w:szCs w:val="20"/>
              </w:rPr>
              <w:t>Flammability:  </w:t>
            </w:r>
            <w:r w:rsidR="00B663AE">
              <w:rPr>
                <w:rStyle w:val="Strong"/>
                <w:sz w:val="20"/>
                <w:szCs w:val="20"/>
              </w:rPr>
              <w:t>2</w:t>
            </w:r>
            <w:r>
              <w:rPr>
                <w:b/>
                <w:bCs/>
                <w:sz w:val="20"/>
                <w:szCs w:val="20"/>
              </w:rPr>
              <w:br/>
            </w:r>
            <w:r>
              <w:rPr>
                <w:rStyle w:val="Strong"/>
                <w:sz w:val="20"/>
                <w:szCs w:val="20"/>
              </w:rPr>
              <w:t>Reactivity: 0</w:t>
            </w:r>
          </w:p>
          <w:p w:rsidR="00E45DE9" w:rsidRDefault="00E45DE9" w:rsidP="00E45DE9">
            <w:pPr>
              <w:pStyle w:val="NormalWeb"/>
              <w:rPr>
                <w:sz w:val="20"/>
                <w:szCs w:val="20"/>
              </w:rPr>
            </w:pPr>
            <w:r>
              <w:rPr>
                <w:rStyle w:val="Strong"/>
                <w:sz w:val="20"/>
                <w:szCs w:val="20"/>
              </w:rPr>
              <w:t>Revision Indicator</w:t>
            </w:r>
            <w:r w:rsidR="006D2A15">
              <w:rPr>
                <w:sz w:val="20"/>
                <w:szCs w:val="20"/>
              </w:rPr>
              <w:t>: June</w:t>
            </w:r>
            <w:r>
              <w:rPr>
                <w:sz w:val="20"/>
                <w:szCs w:val="20"/>
              </w:rPr>
              <w:t xml:space="preserve"> 25, 201</w:t>
            </w:r>
            <w:r w:rsidR="000C5D20">
              <w:rPr>
                <w:sz w:val="20"/>
                <w:szCs w:val="20"/>
              </w:rPr>
              <w:t>9</w:t>
            </w:r>
            <w:bookmarkStart w:id="0" w:name="_GoBack"/>
            <w:bookmarkEnd w:id="0"/>
          </w:p>
          <w:p w:rsidR="00DD55E1" w:rsidRPr="00DD55E1" w:rsidRDefault="00E45DE9" w:rsidP="00E45DE9">
            <w:pPr>
              <w:spacing w:before="100" w:beforeAutospacing="1" w:after="100" w:afterAutospacing="1" w:line="240" w:lineRule="auto"/>
              <w:rPr>
                <w:rFonts w:ascii="Tahoma" w:eastAsia="Times New Roman" w:hAnsi="Tahoma" w:cs="Tahoma"/>
                <w:color w:val="000000"/>
                <w:sz w:val="24"/>
                <w:szCs w:val="24"/>
              </w:rPr>
            </w:pPr>
            <w:r>
              <w:rPr>
                <w:rStyle w:val="Strong"/>
                <w:sz w:val="20"/>
                <w:szCs w:val="20"/>
              </w:rPr>
              <w:t>Disclaimer:</w:t>
            </w:r>
            <w:r>
              <w:rPr>
                <w:sz w:val="20"/>
                <w:szCs w:val="20"/>
              </w:rPr>
              <w:t xml:space="preserve"> The information contained herein is accurate to the best of our knowledge. My Company makes no warranty of any kind, express or implied, concerning the safe use of this material in your process or in combination with other substances.</w:t>
            </w:r>
          </w:p>
        </w:tc>
      </w:tr>
    </w:tbl>
    <w:p w:rsidR="00F55E04" w:rsidRPr="00DD55E1" w:rsidRDefault="00F55E04">
      <w:pPr>
        <w:rPr>
          <w:sz w:val="24"/>
          <w:szCs w:val="24"/>
        </w:rPr>
      </w:pPr>
      <w:r>
        <w:t>*Note: Since other Agencies regulate this information, OSHA will not be enforcing Sections 12 through 15(29 CFR 1910.1200(g)(2)).</w:t>
      </w:r>
    </w:p>
    <w:sectPr w:rsidR="00F55E04" w:rsidRPr="00DD55E1" w:rsidSect="00D95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numPicBullet w:numPicBulletId="9">
    <w:pict>
      <v:shape id="_x0000_i1054" type="#_x0000_t75" style="width:3in;height:3in" o:bullet="t"/>
    </w:pict>
  </w:numPicBullet>
  <w:numPicBullet w:numPicBulletId="10">
    <w:pict>
      <v:shape id="_x0000_i1055" type="#_x0000_t75" style="width:3in;height:3in" o:bullet="t"/>
    </w:pict>
  </w:numPicBullet>
  <w:numPicBullet w:numPicBulletId="11">
    <w:pict>
      <v:shape id="_x0000_i1056" type="#_x0000_t75" style="width:3in;height:3in" o:bullet="t"/>
    </w:pict>
  </w:numPicBullet>
  <w:numPicBullet w:numPicBulletId="12">
    <w:pict>
      <v:shape id="_x0000_i1057" type="#_x0000_t75" style="width:3in;height:3in" o:bullet="t"/>
    </w:pict>
  </w:numPicBullet>
  <w:numPicBullet w:numPicBulletId="13">
    <w:pict>
      <v:shape id="_x0000_i1058" type="#_x0000_t75" style="width:3in;height:3in" o:bullet="t"/>
    </w:pict>
  </w:numPicBullet>
  <w:numPicBullet w:numPicBulletId="14">
    <w:pict>
      <v:shape id="_x0000_i1059" type="#_x0000_t75" style="width:3in;height:3in" o:bullet="t"/>
    </w:pict>
  </w:numPicBullet>
  <w:numPicBullet w:numPicBulletId="15">
    <w:pict>
      <v:shape id="_x0000_i1060" type="#_x0000_t75" style="width:3in;height:3in" o:bullet="t"/>
    </w:pict>
  </w:numPicBullet>
  <w:numPicBullet w:numPicBulletId="16">
    <w:pict>
      <v:shape id="_x0000_i1061" type="#_x0000_t75" style="width:3in;height:3in" o:bullet="t"/>
    </w:pict>
  </w:numPicBullet>
  <w:numPicBullet w:numPicBulletId="17">
    <w:pict>
      <v:shape id="_x0000_i1062" type="#_x0000_t75" style="width:3in;height:3in" o:bullet="t"/>
    </w:pict>
  </w:numPicBullet>
  <w:numPicBullet w:numPicBulletId="18">
    <w:pict>
      <v:shape id="_x0000_i1063" type="#_x0000_t75" style="width:3in;height:3in" o:bullet="t"/>
    </w:pict>
  </w:numPicBullet>
  <w:abstractNum w:abstractNumId="0" w15:restartNumberingAfterBreak="0">
    <w:nsid w:val="000E3B20"/>
    <w:multiLevelType w:val="multilevel"/>
    <w:tmpl w:val="060A3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1C7C"/>
    <w:multiLevelType w:val="multilevel"/>
    <w:tmpl w:val="F66E8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21E2"/>
    <w:multiLevelType w:val="multilevel"/>
    <w:tmpl w:val="2B5A7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ECF"/>
    <w:multiLevelType w:val="multilevel"/>
    <w:tmpl w:val="5A3E8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4AF"/>
    <w:multiLevelType w:val="multilevel"/>
    <w:tmpl w:val="A8B6D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A2C1A"/>
    <w:multiLevelType w:val="multilevel"/>
    <w:tmpl w:val="480E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96F6A"/>
    <w:multiLevelType w:val="multilevel"/>
    <w:tmpl w:val="3064B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60998"/>
    <w:multiLevelType w:val="multilevel"/>
    <w:tmpl w:val="750E1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84010"/>
    <w:multiLevelType w:val="multilevel"/>
    <w:tmpl w:val="BA06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A7A6E"/>
    <w:multiLevelType w:val="multilevel"/>
    <w:tmpl w:val="5C745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4292A"/>
    <w:multiLevelType w:val="multilevel"/>
    <w:tmpl w:val="F124A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F5237"/>
    <w:multiLevelType w:val="multilevel"/>
    <w:tmpl w:val="8D64B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A7A4A"/>
    <w:multiLevelType w:val="multilevel"/>
    <w:tmpl w:val="8E502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052A9"/>
    <w:multiLevelType w:val="multilevel"/>
    <w:tmpl w:val="B96CF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00BFE"/>
    <w:multiLevelType w:val="multilevel"/>
    <w:tmpl w:val="81FAF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C5403"/>
    <w:multiLevelType w:val="multilevel"/>
    <w:tmpl w:val="74847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D335C"/>
    <w:multiLevelType w:val="multilevel"/>
    <w:tmpl w:val="1262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71418"/>
    <w:multiLevelType w:val="multilevel"/>
    <w:tmpl w:val="4272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1530C"/>
    <w:multiLevelType w:val="multilevel"/>
    <w:tmpl w:val="5CB2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7"/>
  </w:num>
  <w:num w:numId="4">
    <w:abstractNumId w:val="6"/>
  </w:num>
  <w:num w:numId="5">
    <w:abstractNumId w:val="18"/>
  </w:num>
  <w:num w:numId="6">
    <w:abstractNumId w:val="1"/>
  </w:num>
  <w:num w:numId="7">
    <w:abstractNumId w:val="15"/>
  </w:num>
  <w:num w:numId="8">
    <w:abstractNumId w:val="2"/>
  </w:num>
  <w:num w:numId="9">
    <w:abstractNumId w:val="0"/>
  </w:num>
  <w:num w:numId="10">
    <w:abstractNumId w:val="10"/>
  </w:num>
  <w:num w:numId="11">
    <w:abstractNumId w:val="5"/>
  </w:num>
  <w:num w:numId="12">
    <w:abstractNumId w:val="4"/>
  </w:num>
  <w:num w:numId="13">
    <w:abstractNumId w:val="3"/>
  </w:num>
  <w:num w:numId="14">
    <w:abstractNumId w:val="14"/>
  </w:num>
  <w:num w:numId="15">
    <w:abstractNumId w:val="7"/>
  </w:num>
  <w:num w:numId="16">
    <w:abstractNumId w:val="9"/>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F7"/>
    <w:rsid w:val="000C5D20"/>
    <w:rsid w:val="00186B47"/>
    <w:rsid w:val="00294392"/>
    <w:rsid w:val="00371FE4"/>
    <w:rsid w:val="003D08AC"/>
    <w:rsid w:val="004502B3"/>
    <w:rsid w:val="00461F6E"/>
    <w:rsid w:val="005763CA"/>
    <w:rsid w:val="00655D42"/>
    <w:rsid w:val="00685748"/>
    <w:rsid w:val="006A767A"/>
    <w:rsid w:val="006D2A15"/>
    <w:rsid w:val="00717DE5"/>
    <w:rsid w:val="009132E0"/>
    <w:rsid w:val="00920ADB"/>
    <w:rsid w:val="00996910"/>
    <w:rsid w:val="00A25505"/>
    <w:rsid w:val="00B22B70"/>
    <w:rsid w:val="00B2404A"/>
    <w:rsid w:val="00B663AE"/>
    <w:rsid w:val="00BC3A1A"/>
    <w:rsid w:val="00C506BB"/>
    <w:rsid w:val="00D957F7"/>
    <w:rsid w:val="00DC5DD0"/>
    <w:rsid w:val="00DD55E1"/>
    <w:rsid w:val="00E177CE"/>
    <w:rsid w:val="00E45DE9"/>
    <w:rsid w:val="00F5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AAB11-076E-4B13-A5AB-F10B974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3A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F7"/>
    <w:rPr>
      <w:color w:val="0000FF" w:themeColor="hyperlink"/>
      <w:u w:val="single"/>
    </w:rPr>
  </w:style>
  <w:style w:type="paragraph" w:customStyle="1" w:styleId="blackten">
    <w:name w:val="blackten"/>
    <w:basedOn w:val="Normal"/>
    <w:rsid w:val="00F55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E04"/>
    <w:rPr>
      <w:b/>
      <w:bCs/>
    </w:rPr>
  </w:style>
  <w:style w:type="paragraph" w:styleId="NoSpacing">
    <w:name w:val="No Spacing"/>
    <w:uiPriority w:val="1"/>
    <w:qFormat/>
    <w:rsid w:val="006A767A"/>
    <w:pPr>
      <w:spacing w:after="0" w:line="240" w:lineRule="auto"/>
    </w:pPr>
  </w:style>
  <w:style w:type="character" w:customStyle="1" w:styleId="Heading2Char">
    <w:name w:val="Heading 2 Char"/>
    <w:basedOn w:val="DefaultParagraphFont"/>
    <w:link w:val="Heading2"/>
    <w:uiPriority w:val="9"/>
    <w:rsid w:val="00BC3A1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5D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2921">
      <w:bodyDiv w:val="1"/>
      <w:marLeft w:val="0"/>
      <w:marRight w:val="0"/>
      <w:marTop w:val="0"/>
      <w:marBottom w:val="0"/>
      <w:divBdr>
        <w:top w:val="none" w:sz="0" w:space="0" w:color="auto"/>
        <w:left w:val="none" w:sz="0" w:space="0" w:color="auto"/>
        <w:bottom w:val="none" w:sz="0" w:space="0" w:color="auto"/>
        <w:right w:val="none" w:sz="0" w:space="0" w:color="auto"/>
      </w:divBdr>
    </w:div>
    <w:div w:id="420033304">
      <w:bodyDiv w:val="1"/>
      <w:marLeft w:val="0"/>
      <w:marRight w:val="0"/>
      <w:marTop w:val="0"/>
      <w:marBottom w:val="0"/>
      <w:divBdr>
        <w:top w:val="none" w:sz="0" w:space="0" w:color="auto"/>
        <w:left w:val="none" w:sz="0" w:space="0" w:color="auto"/>
        <w:bottom w:val="none" w:sz="0" w:space="0" w:color="auto"/>
        <w:right w:val="none" w:sz="0" w:space="0" w:color="auto"/>
      </w:divBdr>
      <w:divsChild>
        <w:div w:id="1038578843">
          <w:marLeft w:val="0"/>
          <w:marRight w:val="0"/>
          <w:marTop w:val="0"/>
          <w:marBottom w:val="0"/>
          <w:divBdr>
            <w:top w:val="single" w:sz="2" w:space="0" w:color="454545"/>
            <w:left w:val="single" w:sz="6" w:space="0" w:color="454545"/>
            <w:bottom w:val="single" w:sz="6" w:space="0" w:color="454545"/>
            <w:right w:val="single" w:sz="6" w:space="0" w:color="454545"/>
          </w:divBdr>
          <w:divsChild>
            <w:div w:id="349378580">
              <w:marLeft w:val="0"/>
              <w:marRight w:val="0"/>
              <w:marTop w:val="0"/>
              <w:marBottom w:val="0"/>
              <w:divBdr>
                <w:top w:val="none" w:sz="0" w:space="0" w:color="auto"/>
                <w:left w:val="none" w:sz="0" w:space="0" w:color="auto"/>
                <w:bottom w:val="none" w:sz="0" w:space="0" w:color="auto"/>
                <w:right w:val="none" w:sz="0" w:space="0" w:color="auto"/>
              </w:divBdr>
              <w:divsChild>
                <w:div w:id="1588348843">
                  <w:marLeft w:val="0"/>
                  <w:marRight w:val="0"/>
                  <w:marTop w:val="0"/>
                  <w:marBottom w:val="0"/>
                  <w:divBdr>
                    <w:top w:val="none" w:sz="0" w:space="0" w:color="auto"/>
                    <w:left w:val="none" w:sz="0" w:space="0" w:color="auto"/>
                    <w:bottom w:val="none" w:sz="0" w:space="0" w:color="auto"/>
                    <w:right w:val="none" w:sz="0" w:space="0" w:color="auto"/>
                  </w:divBdr>
                  <w:divsChild>
                    <w:div w:id="15144160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68042737">
      <w:bodyDiv w:val="1"/>
      <w:marLeft w:val="0"/>
      <w:marRight w:val="0"/>
      <w:marTop w:val="0"/>
      <w:marBottom w:val="0"/>
      <w:divBdr>
        <w:top w:val="none" w:sz="0" w:space="0" w:color="auto"/>
        <w:left w:val="none" w:sz="0" w:space="0" w:color="auto"/>
        <w:bottom w:val="none" w:sz="0" w:space="0" w:color="auto"/>
        <w:right w:val="none" w:sz="0" w:space="0" w:color="auto"/>
      </w:divBdr>
    </w:div>
    <w:div w:id="20828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Henry Schein</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8</cp:revision>
  <cp:lastPrinted>2015-05-26T01:03:00Z</cp:lastPrinted>
  <dcterms:created xsi:type="dcterms:W3CDTF">2015-05-26T14:31:00Z</dcterms:created>
  <dcterms:modified xsi:type="dcterms:W3CDTF">2019-10-30T14:03:00Z</dcterms:modified>
</cp:coreProperties>
</file>